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cs="Times New Roman"/>
          <w:b/>
          <w:noProof/>
          <w:sz w:val="24"/>
          <w:szCs w:val="24"/>
          <w:lang w:eastAsia="it-IT"/>
        </w:rPr>
      </w:pPr>
      <w:r>
        <w:rPr>
          <w:rFonts w:ascii="Times New Roman" w:hAnsi="Times New Roman" w:cs="Times New Roman"/>
          <w:b/>
          <w:noProof/>
          <w:sz w:val="24"/>
          <w:szCs w:val="24"/>
          <w:lang w:eastAsia="it-IT"/>
        </w:rPr>
        <w:t>CENTRO STUDI SUL CLASSICISMO</w:t>
      </w:r>
    </w:p>
    <w:p>
      <w:pPr>
        <w:jc w:val="center"/>
        <w:rPr>
          <w:rFonts w:ascii="Times New Roman" w:hAnsi="Times New Roman" w:cs="Times New Roman"/>
          <w:noProof/>
          <w:sz w:val="24"/>
          <w:szCs w:val="24"/>
          <w:lang w:eastAsia="it-IT"/>
        </w:rPr>
      </w:pPr>
      <w:r>
        <w:rPr>
          <w:rFonts w:ascii="Times New Roman" w:hAnsi="Times New Roman" w:cs="Times New Roman"/>
          <w:noProof/>
          <w:sz w:val="24"/>
          <w:szCs w:val="24"/>
          <w:lang w:eastAsia="it-IT"/>
        </w:rPr>
        <w:t>Sede in Prato- Via Luigi Muzzi, 38</w:t>
      </w:r>
    </w:p>
    <w:p>
      <w:pPr>
        <w:rPr>
          <w:rFonts w:ascii="Times New Roman" w:hAnsi="Times New Roman" w:cs="Times New Roman"/>
          <w:noProof/>
          <w:sz w:val="24"/>
          <w:szCs w:val="24"/>
          <w:lang w:eastAsia="it-IT"/>
        </w:rPr>
      </w:pPr>
    </w:p>
    <w:p>
      <w:pPr>
        <w:jc w:val="center"/>
        <w:rPr>
          <w:rFonts w:ascii="Times New Roman" w:hAnsi="Times New Roman" w:cs="Times New Roman"/>
          <w:b/>
          <w:sz w:val="24"/>
          <w:szCs w:val="24"/>
        </w:rPr>
      </w:pPr>
      <w:r>
        <w:rPr>
          <w:rFonts w:ascii="Times New Roman" w:hAnsi="Times New Roman" w:cs="Times New Roman"/>
          <w:b/>
          <w:sz w:val="24"/>
          <w:szCs w:val="24"/>
        </w:rPr>
        <w:t>RELAZIONE DEL SINDACO  E REVISORE UNICO AL BILANCIO DI ESERCIZIO AL 31-12-2022</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Pregiatissimi membri Associati, siete stati convocati per l’approvazione definitiva del rendiconto dell’attività del Centro Studi sul Classicismo relativo all’esercizio chiuso al 31 dicembre 2022 nonché della relativa situazione patrimoniale e dei documenti che accompagnano il bilancio,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Passando al merito del bilancio 2022 lo stesso chiude con un risultato di gestione dell’esercizio in perdita   per l’importo di  euro 42.009,80. Tale  risultato dipende dal fatto che, anche nell’anno 2022, non è pervenuto il consueto contributo statale e, come ci riferisce la Direzione, gli organi competenti non hanno fornito risposte esaurienti in merito a questa mancanza. Questo evento produce una grave criticità per la stessa sopravvivenza dell’Ente e va dato atto che, per quanto possibile, si è provveduto al contenimento dei costi per limitare la perdita d’esercizio. In ottica prospettica comunque sia per l’anno 2023 con contribuzioni di diversa natura, sia per il 2024, con la richiesta rinnovata per il contributo statale, si prevede che possano pervenire le risorse necessarie per permettere all’Associazione di continuare a perseguire gli scopi sociali.</w:t>
      </w:r>
    </w:p>
    <w:p>
      <w:pPr>
        <w:spacing w:line="360" w:lineRule="auto"/>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Si ribadisce infine, a livello di tecnica di contabilizzazione, che il risultato d’esercizio  è influenzato prevalentemente dall’adozione di metodi  di imputazione delle componenti di reddito improntate ad un criterio puro di cassa.</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Abbiamo esaminato il bilancio d’esercizio dell’Associazione al 31-12-2022 che risulta redatto ai sensi di legge e  statuto e regolarmente comunicato. Detto documento è risultato nel suo complesso idoneo a rappresentare in modo chiaro e veritiero l’andamento della gestione 2022 nonché la situazione patrimoniale finanziaria alla data di riferimento. I dati di bilancio esaminati trovano corrispondenza con le scritture contabili, che periodicamente esaminate sono risultate tenute a norma di legge e secondo una corretta tecnica contabile.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Nell’adempimento dei suoi doveri e nello svolgimento della sua funzione di sindaco e revisore unico, dall’esame degli atti e della documentazione sociale nonché dal confronto dei dati di bilancio dall’esame delle risultanze contabili:</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constatato la sostanziale osservanza delle disposizioni delle disposizioni di legge e dello statuto;</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constatato che l’amministratore dell’ Associazione  è impostata secondo corretti principi avendo ricevuto dagli amministratori notizie sulle operazioni di maggior rilievo, sull’andamento della gestione e sulle condizioni operative e di sviluppo dell’attività istituzionale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ha esaminato e valutato le operazioni finanziarie che sono risultate normali senza che vi sia stato luogo a rilievi ;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ha verificato l’adeguatezza della organizzazione amministrativo-contabile della Associazione che è risultata affidabile ed adeguata rispetto alla dimensione dell’ente ed alle caratteristiche dell’attività svolta ed ha riscontrato la correttezza  delle procedure relative agli adempimenti periodici anche fiscali;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verificato la coerenza della gestione annuale con il contenuto del bilancio.</w:t>
      </w:r>
    </w:p>
    <w:p>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Il Revisore Unico non ha rilievi in ordine al Bilancio.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Le voci della situazione Patrimoniale, aggregate secondo la loro natura si presentano in sintesi come segue (dati in €):</w:t>
      </w:r>
    </w:p>
    <w:p>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ATTIVO </w:t>
      </w:r>
    </w:p>
    <w:p>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Immobilizzazioni materiali immateriali e                     71.388,99</w:t>
      </w:r>
    </w:p>
    <w:p>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finanziarie</w:t>
      </w:r>
    </w:p>
    <w:p>
      <w:pPr>
        <w:spacing w:after="0"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sz w:val="24"/>
          <w:szCs w:val="24"/>
        </w:rPr>
        <w:t>Crediti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2.410,20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Disponibilità Liquide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46.110,70</w:t>
      </w:r>
    </w:p>
    <w:p>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TOTALE ATTIVITA’ </w:t>
      </w:r>
      <w:r>
        <w:rPr>
          <w:rFonts w:ascii="Times New Roman" w:hAnsi="Times New Roman" w:cs="Times New Roman"/>
          <w:b/>
          <w:sz w:val="24"/>
          <w:szCs w:val="24"/>
        </w:rPr>
        <w:t xml:space="preserve">                                </w:t>
      </w:r>
      <w:r>
        <w:rPr>
          <w:rFonts w:ascii="Times New Roman" w:hAnsi="Times New Roman" w:cs="Times New Roman"/>
          <w:b/>
          <w:sz w:val="24"/>
          <w:szCs w:val="24"/>
        </w:rPr>
        <w:tab/>
        <w:t xml:space="preserve">   </w:t>
      </w:r>
      <w:r>
        <w:rPr>
          <w:rFonts w:ascii="Times New Roman" w:hAnsi="Times New Roman" w:cs="Times New Roman"/>
          <w:b/>
          <w:sz w:val="24"/>
          <w:szCs w:val="24"/>
          <w:u w:val="single"/>
        </w:rPr>
        <w:t>119.909,89</w:t>
      </w:r>
    </w:p>
    <w:p>
      <w:pPr>
        <w:spacing w:line="360" w:lineRule="auto"/>
        <w:jc w:val="both"/>
        <w:rPr>
          <w:rFonts w:ascii="Times New Roman" w:hAnsi="Times New Roman" w:cs="Times New Roman"/>
          <w:b/>
          <w:sz w:val="24"/>
          <w:szCs w:val="24"/>
          <w:u w:val="single"/>
        </w:rPr>
      </w:pPr>
    </w:p>
    <w:p>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PASSIVO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Fornitori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12.263,83</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Fondi Ammortamento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29.536,00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Patrimonio netto (compresa perdita d’esercizio)         75.206,56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Debiti Diversi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2.903,50</w:t>
      </w:r>
    </w:p>
    <w:p>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TOTALE PASSIVITA’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u w:val="single"/>
        </w:rPr>
        <w:t xml:space="preserve"> 119.909,89</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Sono state fornite informazioni sui criteri di valutazione delle voci di bilancio condivise ricevendo notizie sulla attività svolta nel corso del 2022 e sulle prospettive della evoluzione dell’attività istituzionale per il proseguimento della scopo statutario. La gestione risulta esauriente nel fornire notizie sulle condizioni attuali e sullo sviluppo dell’attività e sulla prevedibile evoluzione della prospettive, sulla missione istituzionale e sui vari progetti perseguiti e sul trasferimento dei risultati ottenuti.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In particolare si  segnala di condividere il criterio di iscrizione in bilancio delle immobilizzazioni immateriali nonché il criterio di riconoscimento dei costi e proventi secondo il criterio di cassa. Si condivide infine la rilevazione dei contributi e delle liberalità ricevute con vincolo di scopo e/o destinazione.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nostro giudizio il sopramenzionato bilancio, corrisponde alle risultanza dei libri e delle scritture contabili la valutazione del patrimonio sociale è stata effettuata in conformità ai criteri dell’art.2426 del Codice Civile.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Per tutto quanto sopra riferito nulla osta da parte del revisore unico alla approvazione del bilancio di esercizio 2022 prevedendo la copertura della perdita di  € 42.009,80 mediante l’utilizzo per pari importo della voce di riserva del patrimonio denominata “Utili portati a nuovo” .</w:t>
      </w:r>
    </w:p>
    <w:p>
      <w:pPr>
        <w:spacing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Firenze, 16-03-2022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Il Sindaco e Revisore unico </w:t>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Dott. Guasparri Simone </w:t>
      </w:r>
    </w:p>
    <w:sectPr>
      <w:pgSz w:w="11906" w:h="16838" w:code="9"/>
      <w:pgMar w:top="1701" w:right="2325" w:bottom="1701" w:left="164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22743"/>
    <w:multiLevelType w:val="hybridMultilevel"/>
    <w:tmpl w:val="D10E81AC"/>
    <w:lvl w:ilvl="0" w:tplc="D5AA8CD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 w:type="paragraph" w:styleId="Paragrafoelenco">
    <w:name w:val="List Paragraph"/>
    <w:basedOn w:val="Normale"/>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 w:type="paragraph" w:styleId="Paragrafoelenco">
    <w:name w:val="List Paragraph"/>
    <w:basedOn w:val="Normal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794</Words>
  <Characters>4527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dc:creator>
  <cp:lastModifiedBy>Susanna</cp:lastModifiedBy>
  <cp:revision>4</cp:revision>
  <cp:lastPrinted>2017-03-22T11:38:00Z</cp:lastPrinted>
  <dcterms:created xsi:type="dcterms:W3CDTF">2023-03-25T11:39:00Z</dcterms:created>
  <dcterms:modified xsi:type="dcterms:W3CDTF">2023-03-29T09:10:00Z</dcterms:modified>
</cp:coreProperties>
</file>